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Focused Professional Practice Evaluation (FPPE)</w:t>
      </w:r>
    </w:p>
    <w:p>
      <w:pPr>
        <w:spacing w:after="280"/>
      </w:pPr>
      <w:r>
        <w:rPr>
          <w:i/>
          <w:iCs/>
          <w:color w:val="55707F"/>
        </w:rPr>
        <w:t xml:space="preserve">Laparoscopic opportunistic salpingectomy - editable template</w:t>
      </w:r>
    </w:p>
    <w:p>
      <w:pPr>
        <w:pStyle w:val="Heading1"/>
      </w:pPr>
      <w:r>
        <w:t xml:space="preserve">Scope</w:t>
      </w:r>
    </w:p>
    <w:p>
      <w:pPr>
        <w:spacing w:after="60"/>
      </w:pPr>
      <w:r>
        <w:t xml:space="preserve">FPPE: 100% chart review of your first five local cases within 12 months, against defined criteria - appropriate selection and consent, technique, specimen handling, and outcomes.</w:t>
      </w:r>
      <w:r>
        <w:rPr>
          <w:i/>
          <w:iCs/>
          <w:color w:val="8A9490"/>
          <w:sz w:val="16"/>
          <w:szCs w:val="16"/>
        </w:rPr>
        <w:t xml:space="preserve">  [app/provider/page.tsx, “Privileging and FPPE”]</w:t>
      </w:r>
    </w:p>
    <w:p>
      <w:pPr>
        <w:spacing w:after="160"/>
      </w:pPr>
      <w:r>
        <w:t xml:space="preserve">MI-MAGIC provides this template as a starting point. </w:t>
      </w:r>
    </w:p>
    <w:p>
      <w:pPr>
        <w:spacing w:after="60"/>
      </w:pPr>
      <w:r>
        <w:t xml:space="preserve">The provider's institution is responsible for all privileging decisions.</w:t>
      </w:r>
      <w:r>
        <w:rPr>
          <w:i/>
          <w:iCs/>
          <w:color w:val="8A9490"/>
          <w:sz w:val="16"/>
          <w:szCs w:val="16"/>
        </w:rPr>
        <w:t xml:space="preserve">  [lib/training-completion.ts, DEFAULT_SETTINGS.disclaimer]</w:t>
      </w:r>
    </w:p>
    <w:p>
      <w:pPr>
        <w:pStyle w:val="Heading1"/>
      </w:pPr>
      <w:r>
        <w:t xml:space="preserve">Reviewer and site information</w:t>
      </w:r>
    </w:p>
    <w:p>
      <w:pPr>
        <w:pStyle w:val="ListParagraph"/>
        <w:numPr>
          <w:ilvl w:val="0"/>
          <w:numId w:val="2"/>
        </w:numPr>
      </w:pPr>
      <w:r>
        <w:t xml:space="preserve">Hospital / medical staff office: [FILL IN]</w:t>
      </w:r>
    </w:p>
    <w:p>
      <w:pPr>
        <w:pStyle w:val="ListParagraph"/>
        <w:numPr>
          <w:ilvl w:val="0"/>
          <w:numId w:val="2"/>
        </w:numPr>
      </w:pPr>
      <w:r>
        <w:t xml:space="preserve">Reviewing surgeon or FPPE committee: [FILL IN]</w:t>
      </w:r>
    </w:p>
    <w:p>
      <w:pPr>
        <w:pStyle w:val="ListParagraph"/>
        <w:numPr>
          <w:ilvl w:val="0"/>
          <w:numId w:val="2"/>
        </w:numPr>
      </w:pPr>
      <w:r>
        <w:t xml:space="preserve">Department chair: [FILL IN]</w:t>
      </w:r>
    </w:p>
    <w:p>
      <w:pPr>
        <w:pStyle w:val="ListParagraph"/>
        <w:numPr>
          <w:ilvl w:val="0"/>
          <w:numId w:val="2"/>
        </w:numPr>
      </w:pPr>
      <w:r>
        <w:t xml:space="preserve">Review period: [START DATE] to [END DATE]</w:t>
      </w:r>
    </w:p>
    <w:p>
      <w:pPr>
        <w:pStyle w:val="Heading1"/>
      </w:pPr>
      <w:r>
        <w:t xml:space="preserve">Case log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280"/>
        <w:gridCol w:w="1600"/>
        <w:gridCol w:w="1600"/>
        <w:gridCol w:w="2280"/>
      </w:tblGrid>
      <w:tr>
        <w:trPr>
          <w:tblHeader/>
        </w:trP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3EE" w:val="clear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Case #</w:t>
            </w:r>
          </w:p>
        </w:tc>
        <w:tc>
          <w:tcPr>
            <w:tcW w:type="dxa" w:w="22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3EE" w:val="clear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Date of surgery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3EE" w:val="clear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Reviewer initials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3EE" w:val="clear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Outcome</w:t>
            </w:r>
          </w:p>
        </w:tc>
        <w:tc>
          <w:tcPr>
            <w:tcW w:type="dxa" w:w="22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3EE" w:val="clear"/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1</w:t>
            </w:r>
          </w:p>
        </w:tc>
        <w:tc>
          <w:tcPr>
            <w:tcW w:type="dxa" w:w="22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/>
            </w:r>
          </w:p>
        </w:tc>
        <w:tc>
          <w:tcPr>
            <w:tcW w:type="dxa" w:w="22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/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2</w:t>
            </w:r>
          </w:p>
        </w:tc>
        <w:tc>
          <w:tcPr>
            <w:tcW w:type="dxa" w:w="22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/>
            </w:r>
          </w:p>
        </w:tc>
        <w:tc>
          <w:tcPr>
            <w:tcW w:type="dxa" w:w="22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/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3</w:t>
            </w:r>
          </w:p>
        </w:tc>
        <w:tc>
          <w:tcPr>
            <w:tcW w:type="dxa" w:w="22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/>
            </w:r>
          </w:p>
        </w:tc>
        <w:tc>
          <w:tcPr>
            <w:tcW w:type="dxa" w:w="22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/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4</w:t>
            </w:r>
          </w:p>
        </w:tc>
        <w:tc>
          <w:tcPr>
            <w:tcW w:type="dxa" w:w="22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/>
            </w:r>
          </w:p>
        </w:tc>
        <w:tc>
          <w:tcPr>
            <w:tcW w:type="dxa" w:w="22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/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5</w:t>
            </w:r>
          </w:p>
        </w:tc>
        <w:tc>
          <w:tcPr>
            <w:tcW w:type="dxa" w:w="22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/>
            </w:r>
          </w:p>
        </w:tc>
        <w:tc>
          <w:tcPr>
            <w:tcW w:type="dxa" w:w="22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/>
            </w:r>
          </w:p>
        </w:tc>
      </w:tr>
    </w:tbl>
    <w:p>
      <w:pPr>
        <w:pStyle w:val="Heading1"/>
        <w:spacing w:before="360"/>
      </w:pPr>
      <w:r>
        <w:t xml:space="preserve">Review criteria</w:t>
      </w:r>
    </w:p>
    <w:p>
      <w:pPr>
        <w:spacing w:after="160"/>
      </w:pPr>
      <w:r>
        <w:t xml:space="preserve">The four criteria below are the categories already stated on MI-MAGIC's provider page. The specific audit questions under each are not yet drafted.</w:t>
      </w:r>
    </w:p>
    <w:p>
      <w:pPr>
        <w:pStyle w:val="Heading2"/>
      </w:pPr>
      <w:r>
        <w:t xml:space="preserve">1. Appropriate selection and consent</w:t>
      </w:r>
    </w:p>
    <w:p>
      <w:pPr>
        <w:spacing w:after="160" w:before="80"/>
      </w:pPr>
      <w:r>
        <w:rPr>
          <w:i/>
          <w:iCs/>
          <w:color w:val="B0402D"/>
        </w:rPr>
        <w:t xml:space="preserve">TODO - chart-review questions for eligibility criteria and consent documentation are not drafted. Nothing in PLAN.md or CONTENT-DRAFTS.md covers this yet.</w:t>
      </w:r>
    </w:p>
    <w:p>
      <w:pPr>
        <w:pStyle w:val="Heading2"/>
      </w:pPr>
      <w:r>
        <w:t xml:space="preserve">2. Technique</w:t>
      </w:r>
    </w:p>
    <w:p>
      <w:pPr>
        <w:spacing w:after="160" w:before="80"/>
      </w:pPr>
      <w:r>
        <w:rPr>
          <w:i/>
          <w:iCs/>
          <w:color w:val="B0402D"/>
        </w:rPr>
        <w:t xml:space="preserve">TODO - chart-review questions for operative technique are not drafted.</w:t>
      </w:r>
    </w:p>
    <w:p>
      <w:pPr>
        <w:pStyle w:val="Heading2"/>
      </w:pPr>
      <w:r>
        <w:t xml:space="preserve">3. Specimen handling</w:t>
      </w:r>
    </w:p>
    <w:p>
      <w:pPr>
        <w:spacing w:after="160" w:before="80"/>
      </w:pPr>
      <w:r>
        <w:rPr>
          <w:i/>
          <w:iCs/>
          <w:color w:val="B0402D"/>
        </w:rPr>
        <w:t xml:space="preserve">TODO - chart-review questions for specimen handling and pathology documentation are not drafted.</w:t>
      </w:r>
    </w:p>
    <w:p>
      <w:pPr>
        <w:pStyle w:val="Heading2"/>
      </w:pPr>
      <w:r>
        <w:t xml:space="preserve">4. Outcomes</w:t>
      </w:r>
    </w:p>
    <w:p>
      <w:pPr>
        <w:spacing w:after="160" w:before="80"/>
      </w:pPr>
      <w:r>
        <w:rPr>
          <w:i/>
          <w:iCs/>
          <w:color w:val="B0402D"/>
        </w:rPr>
        <w:t xml:space="preserve">TODO - chart-review questions for outcomes and complications are not drafted.</w:t>
      </w:r>
    </w:p>
    <w:p>
      <w:pPr>
        <w:pStyle w:val="Heading1"/>
        <w:spacing w:before="360"/>
      </w:pPr>
      <w:r>
        <w:t xml:space="preserve">Sign-off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FFFFFF" w:sz="1"/>
              <w:left w:val="single" w:color="FFFFFF" w:sz="1"/>
              <w:bottom w:val="single" w:color="FFFFFF" w:sz="1"/>
              <w:right w:val="single" w:color="FFFFFF" w:sz="1"/>
            </w:tcBorders>
          </w:tcPr>
          <w:p>
            <w:pPr>
              <w:spacing w:before="240"/>
            </w:pPr>
            <w:r>
              <w:t xml:space="preserve">Reviewing surgeon: </w:t>
            </w:r>
            <w:r>
              <w:t xml:space="preserve">______________________________</w:t>
            </w:r>
          </w:p>
        </w:tc>
        <w:tc>
          <w:tcPr>
            <w:tcW w:type="dxa" w:w="4680"/>
            <w:tcBorders>
              <w:top w:val="single" w:color="FFFFFF" w:sz="1"/>
              <w:left w:val="single" w:color="FFFFFF" w:sz="1"/>
              <w:bottom w:val="single" w:color="FFFFFF" w:sz="1"/>
              <w:right w:val="single" w:color="FFFFFF" w:sz="1"/>
            </w:tcBorders>
          </w:tcPr>
          <w:p>
            <w:pPr>
              <w:spacing w:before="240"/>
            </w:pPr>
            <w:r>
              <w:t xml:space="preserve">Date: </w:t>
            </w:r>
            <w:r>
              <w:t xml:space="preserve">____________________</w:t>
            </w:r>
          </w:p>
        </w:tc>
      </w:tr>
      <w:tr>
        <w:tc>
          <w:tcPr>
            <w:tcW w:type="dxa" w:w="4680"/>
            <w:tcBorders>
              <w:top w:val="single" w:color="FFFFFF" w:sz="1"/>
              <w:left w:val="single" w:color="FFFFFF" w:sz="1"/>
              <w:bottom w:val="single" w:color="FFFFFF" w:sz="1"/>
              <w:right w:val="single" w:color="FFFFFF" w:sz="1"/>
            </w:tcBorders>
          </w:tcPr>
          <w:p>
            <w:pPr>
              <w:spacing w:before="240"/>
            </w:pPr>
            <w:r>
              <w:t xml:space="preserve">FPPE committee chair: </w:t>
            </w:r>
            <w:r>
              <w:t xml:space="preserve">______________________________</w:t>
            </w:r>
          </w:p>
        </w:tc>
        <w:tc>
          <w:tcPr>
            <w:tcW w:type="dxa" w:w="4680"/>
            <w:tcBorders>
              <w:top w:val="single" w:color="FFFFFF" w:sz="1"/>
              <w:left w:val="single" w:color="FFFFFF" w:sz="1"/>
              <w:bottom w:val="single" w:color="FFFFFF" w:sz="1"/>
              <w:right w:val="single" w:color="FFFFFF" w:sz="1"/>
            </w:tcBorders>
          </w:tcPr>
          <w:p>
            <w:pPr>
              <w:spacing w:before="240"/>
            </w:pPr>
            <w:r>
              <w:t xml:space="preserve">Date: </w:t>
            </w:r>
            <w:r>
              <w:t xml:space="preserve">____________________</w:t>
            </w:r>
          </w:p>
        </w:tc>
      </w:tr>
    </w:tbl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5707F"/>
        <w:sz w:val="16"/>
        <w:szCs w:val="16"/>
      </w:rPr>
      <w:t xml:space="preserve">MI-MAGIC, University of Michigan  ·  Page </w:t>
    </w:r>
    <w:r>
      <w:rPr>
        <w:color w:val="55707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5707F"/>
        <w:sz w:val="16"/>
        <w:szCs w:val="16"/>
      </w:rPr>
      <w:t xml:space="preserve"> of </w:t>
    </w:r>
    <w:r>
      <w:rPr>
        <w:color w:val="55707F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00" w:before="0"/>
    </w:pPr>
    <w:rPr>
      <w:rFonts w:ascii="Georgia" w:cs="Georgia" w:eastAsia="Georgia" w:hAnsi="Georgia"/>
      <w:b/>
      <w:bCs/>
      <w:color w:val="07565D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60" w:before="320"/>
      <w:outlineLvl w:val="0"/>
    </w:pPr>
    <w:rPr>
      <w:rFonts w:ascii="Georgia" w:cs="Georgia" w:eastAsia="Georgia" w:hAnsi="Georgia"/>
      <w:b/>
      <w:bCs/>
      <w:color w:val="071F2E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20" w:before="220"/>
      <w:outlineLvl w:val="1"/>
    </w:pPr>
    <w:rPr>
      <w:rFonts w:ascii="Georgia" w:cs="Georgia" w:eastAsia="Georgia" w:hAnsi="Georgia"/>
      <w:b/>
      <w:bCs/>
      <w:color w:val="07565D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2026-09-18T11:15:13.936Z</dcterms:created>
  <dcterms:modified xsi:type="dcterms:W3CDTF">2026-09-18T11:15:13.937Z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